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580" w:lineRule="exact"/>
        <w:ind w:left="0" w:firstLine="0"/>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val="en-US" w:eastAsia="zh-CN"/>
        </w:rPr>
        <w:t>关于《武王墩保护管理规划（2023—2035）</w:t>
      </w: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lang w:val="en-US" w:eastAsia="zh-CN"/>
        </w:rPr>
        <w:t>编制</w:t>
      </w:r>
      <w:r>
        <w:rPr>
          <w:rFonts w:hint="eastAsia" w:ascii="方正小标宋简体" w:hAnsi="方正小标宋简体" w:eastAsia="方正小标宋简体" w:cs="方正小标宋简体"/>
          <w:sz w:val="44"/>
          <w:szCs w:val="44"/>
          <w:lang w:eastAsia="zh-CN"/>
        </w:rPr>
        <w:t>情况的说明</w:t>
      </w:r>
    </w:p>
    <w:p>
      <w:pPr>
        <w:pStyle w:val="3"/>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580" w:lineRule="exact"/>
        <w:ind w:left="0" w:firstLine="0"/>
        <w:jc w:val="center"/>
        <w:textAlignment w:val="auto"/>
        <w:rPr>
          <w:rFonts w:hint="eastAsia" w:ascii="楷体" w:hAnsi="楷体" w:eastAsia="楷体" w:cs="方正小标宋简体"/>
          <w:sz w:val="32"/>
          <w:szCs w:val="44"/>
          <w:lang w:eastAsia="zh-CN"/>
        </w:rPr>
      </w:pPr>
      <w:r>
        <w:rPr>
          <w:rFonts w:hint="eastAsia" w:ascii="楷体" w:hAnsi="楷体" w:eastAsia="楷体" w:cs="方正小标宋简体"/>
          <w:sz w:val="32"/>
          <w:szCs w:val="44"/>
          <w:lang w:eastAsia="zh-CN"/>
        </w:rPr>
        <w:t>市</w:t>
      </w:r>
      <w:r>
        <w:rPr>
          <w:rFonts w:hint="eastAsia" w:ascii="楷体" w:hAnsi="楷体" w:eastAsia="楷体" w:cs="方正小标宋简体"/>
          <w:sz w:val="32"/>
          <w:szCs w:val="44"/>
          <w:lang w:val="en-US" w:eastAsia="zh-CN"/>
        </w:rPr>
        <w:t>文化和旅游</w:t>
      </w:r>
      <w:r>
        <w:rPr>
          <w:rFonts w:hint="eastAsia" w:ascii="楷体" w:hAnsi="楷体" w:eastAsia="楷体" w:cs="方正小标宋简体"/>
          <w:sz w:val="32"/>
          <w:szCs w:val="44"/>
          <w:lang w:eastAsia="zh-CN"/>
        </w:rPr>
        <w:t>局</w:t>
      </w:r>
    </w:p>
    <w:p>
      <w:pPr>
        <w:keepNext w:val="0"/>
        <w:keepLines w:val="0"/>
        <w:pageBreakBefore w:val="0"/>
        <w:widowControl w:val="0"/>
        <w:kinsoku/>
        <w:wordWrap/>
        <w:overflowPunct/>
        <w:topLinePunct w:val="0"/>
        <w:autoSpaceDE/>
        <w:autoSpaceDN/>
        <w:bidi w:val="0"/>
        <w:adjustRightInd/>
        <w:snapToGrid/>
        <w:spacing w:before="0" w:beforeLines="0" w:after="0" w:afterLines="0" w:line="578" w:lineRule="exact"/>
        <w:ind w:left="0" w:leftChars="0" w:right="0" w:rightChars="0"/>
        <w:jc w:val="center"/>
        <w:textAlignment w:val="auto"/>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一、起草背景及过程</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为做好武王墩的保护管理与活化利用工作，根据《中华人民共和国文物保护法》《中华人民共和国城乡规划法》《中华</w:t>
      </w:r>
      <w:bookmarkStart w:id="0" w:name="_GoBack"/>
      <w:bookmarkEnd w:id="0"/>
      <w:r>
        <w:rPr>
          <w:rFonts w:hint="eastAsia" w:ascii="仿宋_GB2312" w:hAnsi="仿宋_GB2312" w:eastAsia="仿宋_GB2312" w:cs="仿宋_GB2312"/>
          <w:sz w:val="32"/>
          <w:szCs w:val="32"/>
          <w:lang w:val="en-US" w:eastAsia="zh-CN"/>
        </w:rPr>
        <w:t>人民共和国环境保护法》《中华人民共和国土地管理法》等有关法律法规，结合我市实际，我局牵头编制了《武王墩保护管理规划（2023-2035）》（以下简称《规划》）。</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在规划编制过程中，我们借鉴了其他城市的文化遗产保护先进经验，组织了专家论证会，</w:t>
      </w:r>
      <w:r>
        <w:rPr>
          <w:rFonts w:hint="eastAsia" w:ascii="仿宋_GB2312" w:hAnsi="仿宋_GB2312" w:eastAsia="仿宋_GB2312" w:cs="仿宋_GB2312"/>
          <w:sz w:val="32"/>
        </w:rPr>
        <w:t>征求</w:t>
      </w:r>
      <w:r>
        <w:rPr>
          <w:rFonts w:hint="eastAsia" w:ascii="仿宋_GB2312" w:hAnsi="仿宋_GB2312" w:eastAsia="仿宋_GB2312" w:cs="仿宋_GB2312"/>
          <w:sz w:val="32"/>
          <w:lang w:eastAsia="zh-CN"/>
        </w:rPr>
        <w:t>了相关部门和县区</w:t>
      </w:r>
      <w:r>
        <w:rPr>
          <w:rFonts w:hint="eastAsia" w:ascii="仿宋_GB2312" w:hAnsi="仿宋_GB2312" w:eastAsia="仿宋_GB2312" w:cs="仿宋_GB2312"/>
          <w:sz w:val="32"/>
        </w:rPr>
        <w:t>意见，</w:t>
      </w:r>
      <w:r>
        <w:rPr>
          <w:rFonts w:hint="eastAsia" w:ascii="仿宋_GB2312" w:hAnsi="仿宋_GB2312" w:eastAsia="仿宋_GB2312" w:cs="仿宋_GB2312"/>
          <w:sz w:val="32"/>
          <w:lang w:val="en-US" w:eastAsia="zh-CN"/>
        </w:rPr>
        <w:t>取得了省文物局的批复，</w:t>
      </w:r>
      <w:r>
        <w:rPr>
          <w:rFonts w:hint="eastAsia" w:ascii="仿宋_GB2312" w:hAnsi="仿宋_GB2312" w:eastAsia="仿宋_GB2312" w:cs="仿宋_GB2312"/>
          <w:sz w:val="32"/>
        </w:rPr>
        <w:t>形成《</w:t>
      </w:r>
      <w:r>
        <w:rPr>
          <w:rFonts w:hint="eastAsia" w:ascii="仿宋_GB2312" w:hAnsi="仿宋_GB2312" w:eastAsia="仿宋_GB2312" w:cs="仿宋_GB2312"/>
          <w:sz w:val="32"/>
          <w:lang w:val="en-US" w:eastAsia="zh-CN"/>
        </w:rPr>
        <w:t>规划</w:t>
      </w:r>
      <w:r>
        <w:rPr>
          <w:rFonts w:hint="eastAsia" w:ascii="仿宋_GB2312" w:hAnsi="仿宋_GB2312" w:eastAsia="仿宋_GB2312" w:cs="仿宋_GB2312"/>
          <w:sz w:val="32"/>
        </w:rPr>
        <w:t>（征求意见稿）》。</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二、主要内容</w:t>
      </w:r>
    </w:p>
    <w:p>
      <w:pPr>
        <w:spacing w:line="58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本《规划》共计七章，主要分为总则、保护对象、专项评估、规划目标与基本对策、保护区划与管理规定、保护管理措施、分期目标及实施计划等章节。主要内容如下：</w:t>
      </w:r>
    </w:p>
    <w:p>
      <w:pPr>
        <w:pStyle w:val="3"/>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600" w:lineRule="exact"/>
        <w:ind w:left="0" w:leftChars="0" w:right="0" w:rightChars="0" w:firstLine="0" w:firstLineChars="0"/>
        <w:jc w:val="both"/>
        <w:textAlignment w:val="auto"/>
        <w:rPr>
          <w:rFonts w:hint="eastAsia" w:ascii="仿宋_GB2312" w:hAnsi="仿宋_GB2312" w:eastAsia="仿宋_GB2312" w:cs="仿宋_GB2312"/>
          <w:b w:val="0"/>
          <w:bCs w:val="0"/>
          <w:i w:val="0"/>
          <w:caps w:val="0"/>
          <w:color w:val="auto"/>
          <w:spacing w:val="0"/>
          <w:kern w:val="0"/>
          <w:sz w:val="32"/>
          <w:szCs w:val="32"/>
          <w:lang w:val="en-US" w:eastAsia="zh-CN" w:bidi="ar"/>
        </w:rPr>
      </w:pPr>
      <w:r>
        <w:rPr>
          <w:rFonts w:hint="eastAsia" w:ascii="仿宋_GB2312" w:hAnsi="仿宋_GB2312" w:eastAsia="仿宋_GB2312" w:cs="仿宋_GB2312"/>
          <w:b w:val="0"/>
          <w:bCs/>
          <w:i w:val="0"/>
          <w:caps w:val="0"/>
          <w:color w:val="auto"/>
          <w:spacing w:val="0"/>
          <w:kern w:val="0"/>
          <w:sz w:val="32"/>
          <w:szCs w:val="32"/>
          <w:lang w:val="en-US" w:eastAsia="zh-CN" w:bidi="ar"/>
        </w:rPr>
        <w:t xml:space="preserve">    </w:t>
      </w:r>
      <w:r>
        <w:rPr>
          <w:rFonts w:hint="eastAsia" w:ascii="仿宋_GB2312" w:hAnsi="仿宋_GB2312" w:eastAsia="仿宋_GB2312" w:cs="仿宋_GB2312"/>
          <w:b/>
          <w:color w:val="000000"/>
          <w:sz w:val="32"/>
          <w:szCs w:val="32"/>
        </w:rPr>
        <w:t>（</w:t>
      </w:r>
      <w:r>
        <w:rPr>
          <w:rFonts w:hint="eastAsia" w:ascii="仿宋_GB2312" w:hAnsi="仿宋_GB2312" w:eastAsia="仿宋_GB2312" w:cs="仿宋_GB2312"/>
          <w:b/>
          <w:color w:val="000000"/>
          <w:sz w:val="32"/>
          <w:szCs w:val="32"/>
          <w:lang w:eastAsia="zh-CN"/>
        </w:rPr>
        <w:t>一</w:t>
      </w:r>
      <w:r>
        <w:rPr>
          <w:rFonts w:hint="eastAsia" w:ascii="仿宋_GB2312" w:hAnsi="仿宋_GB2312" w:eastAsia="仿宋_GB2312" w:cs="仿宋_GB2312"/>
          <w:b/>
          <w:color w:val="000000"/>
          <w:sz w:val="32"/>
          <w:szCs w:val="32"/>
        </w:rPr>
        <w:t>）</w:t>
      </w:r>
      <w:r>
        <w:rPr>
          <w:rFonts w:hint="eastAsia" w:ascii="仿宋_GB2312" w:hAnsi="仿宋_GB2312" w:eastAsia="仿宋_GB2312" w:cs="仿宋_GB2312"/>
          <w:b/>
          <w:color w:val="000000"/>
          <w:sz w:val="32"/>
          <w:szCs w:val="32"/>
          <w:lang w:eastAsia="zh-CN"/>
        </w:rPr>
        <w:t>总则</w:t>
      </w:r>
      <w:r>
        <w:rPr>
          <w:rStyle w:val="6"/>
          <w:rFonts w:hint="eastAsia" w:ascii="仿宋_GB2312" w:hAnsi="仿宋_GB2312" w:eastAsia="仿宋_GB2312" w:cs="仿宋_GB2312"/>
          <w:b/>
          <w:bCs/>
          <w:kern w:val="2"/>
          <w:sz w:val="32"/>
          <w:szCs w:val="32"/>
          <w:lang w:val="en-US" w:eastAsia="zh-CN" w:bidi="ar"/>
        </w:rPr>
        <w:t>。</w:t>
      </w:r>
      <w:r>
        <w:rPr>
          <w:rStyle w:val="6"/>
          <w:rFonts w:hint="eastAsia" w:ascii="仿宋_GB2312" w:hAnsi="仿宋_GB2312" w:eastAsia="仿宋_GB2312" w:cs="仿宋_GB2312"/>
          <w:b w:val="0"/>
          <w:bCs w:val="0"/>
          <w:kern w:val="2"/>
          <w:sz w:val="32"/>
          <w:szCs w:val="32"/>
          <w:lang w:val="en-US" w:eastAsia="zh-CN" w:bidi="ar"/>
        </w:rPr>
        <w:t>明确了规划背景、规划对象、规划性质、规划依据、规划期限。</w:t>
      </w:r>
    </w:p>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578" w:lineRule="exact"/>
        <w:ind w:left="0" w:leftChars="0" w:right="0" w:rightChars="0" w:firstLine="640" w:firstLineChars="0"/>
        <w:jc w:val="both"/>
        <w:textAlignment w:val="auto"/>
        <w:outlineLvl w:val="9"/>
        <w:rPr>
          <w:rFonts w:hint="eastAsia" w:ascii="仿宋_GB2312" w:hAnsi="仿宋_GB2312" w:eastAsia="仿宋_GB2312" w:cs="仿宋_GB2312"/>
          <w:b w:val="0"/>
          <w:bCs/>
          <w:i w:val="0"/>
          <w:caps w:val="0"/>
          <w:color w:val="auto"/>
          <w:spacing w:val="0"/>
          <w:kern w:val="0"/>
          <w:sz w:val="32"/>
          <w:szCs w:val="32"/>
          <w:lang w:val="en-US" w:eastAsia="zh-CN" w:bidi="ar"/>
        </w:rPr>
      </w:pPr>
      <w:r>
        <w:rPr>
          <w:rFonts w:hint="eastAsia" w:ascii="仿宋_GB2312" w:hAnsi="仿宋_GB2312" w:eastAsia="仿宋_GB2312" w:cs="仿宋_GB2312"/>
          <w:b/>
          <w:bCs w:val="0"/>
          <w:i w:val="0"/>
          <w:caps w:val="0"/>
          <w:color w:val="auto"/>
          <w:spacing w:val="0"/>
          <w:kern w:val="0"/>
          <w:sz w:val="32"/>
          <w:szCs w:val="32"/>
          <w:lang w:val="en-US" w:eastAsia="zh-CN" w:bidi="ar"/>
        </w:rPr>
        <w:t>（二）保护对象。一是</w:t>
      </w:r>
      <w:r>
        <w:rPr>
          <w:rFonts w:hint="eastAsia" w:ascii="仿宋_GB2312" w:hAnsi="仿宋_GB2312" w:eastAsia="仿宋_GB2312" w:cs="仿宋_GB2312"/>
          <w:b w:val="0"/>
          <w:bCs/>
          <w:i w:val="0"/>
          <w:caps w:val="0"/>
          <w:color w:val="auto"/>
          <w:spacing w:val="0"/>
          <w:kern w:val="0"/>
          <w:sz w:val="32"/>
          <w:szCs w:val="32"/>
          <w:lang w:val="en-US" w:eastAsia="zh-CN" w:bidi="ar"/>
        </w:rPr>
        <w:t>明确了文物概况。</w:t>
      </w:r>
      <w:r>
        <w:rPr>
          <w:rFonts w:hint="eastAsia" w:ascii="仿宋_GB2312" w:hAnsi="仿宋_GB2312" w:eastAsia="仿宋_GB2312" w:cs="仿宋_GB2312"/>
          <w:b/>
          <w:bCs w:val="0"/>
          <w:i w:val="0"/>
          <w:caps w:val="0"/>
          <w:color w:val="auto"/>
          <w:spacing w:val="0"/>
          <w:kern w:val="0"/>
          <w:sz w:val="32"/>
          <w:szCs w:val="32"/>
          <w:lang w:val="en-US" w:eastAsia="zh-CN" w:bidi="ar"/>
        </w:rPr>
        <w:t>二是</w:t>
      </w:r>
      <w:r>
        <w:rPr>
          <w:rFonts w:hint="eastAsia" w:ascii="仿宋_GB2312" w:hAnsi="仿宋_GB2312" w:eastAsia="仿宋_GB2312" w:cs="仿宋_GB2312"/>
          <w:b w:val="0"/>
          <w:bCs/>
          <w:i w:val="0"/>
          <w:caps w:val="0"/>
          <w:color w:val="auto"/>
          <w:spacing w:val="0"/>
          <w:kern w:val="0"/>
          <w:sz w:val="32"/>
          <w:szCs w:val="32"/>
          <w:lang w:val="en-US" w:eastAsia="zh-CN" w:bidi="ar"/>
        </w:rPr>
        <w:t>明确了文物本体构成。</w:t>
      </w:r>
    </w:p>
    <w:p>
      <w:pPr>
        <w:pStyle w:val="3"/>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578" w:lineRule="exact"/>
        <w:ind w:left="0" w:leftChars="0" w:right="0" w:rightChars="0" w:firstLine="0" w:firstLineChars="0"/>
        <w:jc w:val="both"/>
        <w:textAlignment w:val="auto"/>
        <w:outlineLvl w:val="9"/>
        <w:rPr>
          <w:rFonts w:hint="default" w:ascii="仿宋_GB2312" w:hAnsi="仿宋_GB2312" w:eastAsia="仿宋_GB2312" w:cs="仿宋_GB2312"/>
          <w:b w:val="0"/>
          <w:bCs/>
          <w:i w:val="0"/>
          <w:caps w:val="0"/>
          <w:color w:val="auto"/>
          <w:spacing w:val="0"/>
          <w:kern w:val="0"/>
          <w:sz w:val="32"/>
          <w:szCs w:val="32"/>
          <w:lang w:val="en-US" w:eastAsia="zh-CN" w:bidi="ar"/>
        </w:rPr>
      </w:pPr>
      <w:r>
        <w:rPr>
          <w:rFonts w:hint="eastAsia" w:ascii="仿宋_GB2312" w:hAnsi="仿宋_GB2312" w:eastAsia="仿宋_GB2312" w:cs="仿宋_GB2312"/>
          <w:b w:val="0"/>
          <w:bCs/>
          <w:i w:val="0"/>
          <w:caps w:val="0"/>
          <w:color w:val="auto"/>
          <w:spacing w:val="0"/>
          <w:kern w:val="0"/>
          <w:sz w:val="32"/>
          <w:szCs w:val="32"/>
          <w:lang w:val="en-US" w:eastAsia="zh-CN" w:bidi="ar"/>
        </w:rPr>
        <w:t xml:space="preserve">    </w:t>
      </w:r>
      <w:r>
        <w:rPr>
          <w:rFonts w:hint="eastAsia" w:ascii="仿宋_GB2312" w:hAnsi="仿宋_GB2312" w:eastAsia="仿宋_GB2312" w:cs="仿宋_GB2312"/>
          <w:b/>
          <w:bCs w:val="0"/>
          <w:i w:val="0"/>
          <w:caps w:val="0"/>
          <w:color w:val="auto"/>
          <w:spacing w:val="0"/>
          <w:kern w:val="0"/>
          <w:sz w:val="32"/>
          <w:szCs w:val="32"/>
          <w:lang w:val="en-US" w:eastAsia="zh-CN" w:bidi="ar"/>
        </w:rPr>
        <w:t>（三）专项评估。一是</w:t>
      </w:r>
      <w:r>
        <w:rPr>
          <w:rFonts w:hint="eastAsia" w:ascii="仿宋_GB2312" w:hAnsi="仿宋_GB2312" w:eastAsia="仿宋_GB2312" w:cs="仿宋_GB2312"/>
          <w:b w:val="0"/>
          <w:bCs/>
          <w:i w:val="0"/>
          <w:caps w:val="0"/>
          <w:color w:val="auto"/>
          <w:spacing w:val="0"/>
          <w:kern w:val="0"/>
          <w:sz w:val="32"/>
          <w:szCs w:val="32"/>
          <w:lang w:val="en-US" w:eastAsia="zh-CN" w:bidi="ar"/>
        </w:rPr>
        <w:t>评估了文物价值。</w:t>
      </w:r>
      <w:r>
        <w:rPr>
          <w:rFonts w:hint="eastAsia" w:ascii="仿宋_GB2312" w:hAnsi="仿宋_GB2312" w:eastAsia="仿宋_GB2312" w:cs="仿宋_GB2312"/>
          <w:b/>
          <w:bCs w:val="0"/>
          <w:i w:val="0"/>
          <w:caps w:val="0"/>
          <w:color w:val="auto"/>
          <w:spacing w:val="0"/>
          <w:kern w:val="0"/>
          <w:sz w:val="32"/>
          <w:szCs w:val="32"/>
          <w:lang w:val="en-US" w:eastAsia="zh-CN" w:bidi="ar"/>
        </w:rPr>
        <w:t>二是</w:t>
      </w:r>
      <w:r>
        <w:rPr>
          <w:rFonts w:hint="eastAsia" w:ascii="仿宋_GB2312" w:hAnsi="仿宋_GB2312" w:eastAsia="仿宋_GB2312" w:cs="仿宋_GB2312"/>
          <w:b w:val="0"/>
          <w:bCs/>
          <w:i w:val="0"/>
          <w:caps w:val="0"/>
          <w:color w:val="auto"/>
          <w:spacing w:val="0"/>
          <w:kern w:val="0"/>
          <w:sz w:val="32"/>
          <w:szCs w:val="32"/>
          <w:lang w:val="en-US" w:eastAsia="zh-CN" w:bidi="ar"/>
        </w:rPr>
        <w:t>评估了文物的保存现状。</w:t>
      </w:r>
      <w:r>
        <w:rPr>
          <w:rFonts w:hint="eastAsia" w:ascii="仿宋_GB2312" w:hAnsi="仿宋_GB2312" w:eastAsia="仿宋_GB2312" w:cs="仿宋_GB2312"/>
          <w:b/>
          <w:bCs w:val="0"/>
          <w:i w:val="0"/>
          <w:caps w:val="0"/>
          <w:color w:val="auto"/>
          <w:spacing w:val="0"/>
          <w:kern w:val="0"/>
          <w:sz w:val="32"/>
          <w:szCs w:val="32"/>
          <w:lang w:val="en-US" w:eastAsia="zh-CN" w:bidi="ar"/>
        </w:rPr>
        <w:t>三是</w:t>
      </w:r>
      <w:r>
        <w:rPr>
          <w:rFonts w:hint="eastAsia" w:ascii="仿宋_GB2312" w:hAnsi="仿宋_GB2312" w:eastAsia="仿宋_GB2312" w:cs="仿宋_GB2312"/>
          <w:b w:val="0"/>
          <w:bCs/>
          <w:i w:val="0"/>
          <w:caps w:val="0"/>
          <w:color w:val="auto"/>
          <w:spacing w:val="0"/>
          <w:kern w:val="0"/>
          <w:sz w:val="32"/>
          <w:szCs w:val="32"/>
          <w:lang w:val="en-US" w:eastAsia="zh-CN" w:bidi="ar"/>
        </w:rPr>
        <w:t>评估了管理现状。</w:t>
      </w:r>
      <w:r>
        <w:rPr>
          <w:rFonts w:hint="eastAsia" w:ascii="仿宋_GB2312" w:hAnsi="仿宋_GB2312" w:eastAsia="仿宋_GB2312" w:cs="仿宋_GB2312"/>
          <w:b/>
          <w:bCs w:val="0"/>
          <w:i w:val="0"/>
          <w:caps w:val="0"/>
          <w:color w:val="auto"/>
          <w:spacing w:val="0"/>
          <w:kern w:val="0"/>
          <w:sz w:val="32"/>
          <w:szCs w:val="32"/>
          <w:lang w:val="en-US" w:eastAsia="zh-CN" w:bidi="ar"/>
        </w:rPr>
        <w:t>四是</w:t>
      </w:r>
      <w:r>
        <w:rPr>
          <w:rFonts w:hint="eastAsia" w:ascii="仿宋_GB2312" w:hAnsi="仿宋_GB2312" w:eastAsia="仿宋_GB2312" w:cs="仿宋_GB2312"/>
          <w:b w:val="0"/>
          <w:bCs/>
          <w:i w:val="0"/>
          <w:caps w:val="0"/>
          <w:color w:val="auto"/>
          <w:spacing w:val="0"/>
          <w:kern w:val="0"/>
          <w:sz w:val="32"/>
          <w:szCs w:val="32"/>
          <w:lang w:val="en-US" w:eastAsia="zh-CN" w:bidi="ar"/>
        </w:rPr>
        <w:t>评估了文物环境现状。</w:t>
      </w:r>
      <w:r>
        <w:rPr>
          <w:rFonts w:hint="eastAsia" w:ascii="仿宋_GB2312" w:hAnsi="仿宋_GB2312" w:eastAsia="仿宋_GB2312" w:cs="仿宋_GB2312"/>
          <w:b/>
          <w:bCs w:val="0"/>
          <w:i w:val="0"/>
          <w:caps w:val="0"/>
          <w:color w:val="auto"/>
          <w:spacing w:val="0"/>
          <w:kern w:val="0"/>
          <w:sz w:val="32"/>
          <w:szCs w:val="32"/>
          <w:lang w:val="en-US" w:eastAsia="zh-CN" w:bidi="ar"/>
        </w:rPr>
        <w:t>五是</w:t>
      </w:r>
      <w:r>
        <w:rPr>
          <w:rFonts w:hint="eastAsia" w:ascii="仿宋_GB2312" w:hAnsi="仿宋_GB2312" w:eastAsia="仿宋_GB2312" w:cs="仿宋_GB2312"/>
          <w:b w:val="0"/>
          <w:bCs/>
          <w:i w:val="0"/>
          <w:caps w:val="0"/>
          <w:color w:val="auto"/>
          <w:spacing w:val="0"/>
          <w:kern w:val="0"/>
          <w:sz w:val="32"/>
          <w:szCs w:val="32"/>
          <w:lang w:val="en-US" w:eastAsia="zh-CN" w:bidi="ar"/>
        </w:rPr>
        <w:t>评估了展示利用现状。</w:t>
      </w:r>
      <w:r>
        <w:rPr>
          <w:rFonts w:hint="eastAsia" w:ascii="仿宋_GB2312" w:hAnsi="仿宋_GB2312" w:eastAsia="仿宋_GB2312" w:cs="仿宋_GB2312"/>
          <w:b/>
          <w:bCs w:val="0"/>
          <w:i w:val="0"/>
          <w:caps w:val="0"/>
          <w:color w:val="auto"/>
          <w:spacing w:val="0"/>
          <w:kern w:val="0"/>
          <w:sz w:val="32"/>
          <w:szCs w:val="32"/>
          <w:lang w:val="en-US" w:eastAsia="zh-CN" w:bidi="ar"/>
        </w:rPr>
        <w:t>六是</w:t>
      </w:r>
      <w:r>
        <w:rPr>
          <w:rFonts w:hint="eastAsia" w:ascii="仿宋_GB2312" w:hAnsi="仿宋_GB2312" w:eastAsia="仿宋_GB2312" w:cs="仿宋_GB2312"/>
          <w:b w:val="0"/>
          <w:bCs/>
          <w:i w:val="0"/>
          <w:caps w:val="0"/>
          <w:color w:val="auto"/>
          <w:spacing w:val="0"/>
          <w:kern w:val="0"/>
          <w:sz w:val="32"/>
          <w:szCs w:val="32"/>
          <w:lang w:val="en-US" w:eastAsia="zh-CN" w:bidi="ar"/>
        </w:rPr>
        <w:t>评估了考古现状。</w:t>
      </w:r>
      <w:r>
        <w:rPr>
          <w:rFonts w:hint="eastAsia" w:ascii="仿宋_GB2312" w:hAnsi="仿宋_GB2312" w:eastAsia="仿宋_GB2312" w:cs="仿宋_GB2312"/>
          <w:b/>
          <w:bCs w:val="0"/>
          <w:i w:val="0"/>
          <w:caps w:val="0"/>
          <w:color w:val="auto"/>
          <w:spacing w:val="0"/>
          <w:kern w:val="0"/>
          <w:sz w:val="32"/>
          <w:szCs w:val="32"/>
          <w:lang w:val="en-US" w:eastAsia="zh-CN" w:bidi="ar"/>
        </w:rPr>
        <w:t>七是</w:t>
      </w:r>
      <w:r>
        <w:rPr>
          <w:rFonts w:hint="eastAsia" w:ascii="仿宋_GB2312" w:hAnsi="仿宋_GB2312" w:eastAsia="仿宋_GB2312" w:cs="仿宋_GB2312"/>
          <w:b w:val="0"/>
          <w:bCs/>
          <w:i w:val="0"/>
          <w:caps w:val="0"/>
          <w:color w:val="auto"/>
          <w:spacing w:val="0"/>
          <w:kern w:val="0"/>
          <w:sz w:val="32"/>
          <w:szCs w:val="32"/>
          <w:lang w:val="en-US" w:eastAsia="zh-CN" w:bidi="ar"/>
        </w:rPr>
        <w:t>评估了相关规划。</w:t>
      </w:r>
      <w:r>
        <w:rPr>
          <w:rFonts w:hint="eastAsia" w:ascii="仿宋_GB2312" w:hAnsi="仿宋_GB2312" w:eastAsia="仿宋_GB2312" w:cs="仿宋_GB2312"/>
          <w:b/>
          <w:bCs w:val="0"/>
          <w:i w:val="0"/>
          <w:caps w:val="0"/>
          <w:color w:val="auto"/>
          <w:spacing w:val="0"/>
          <w:kern w:val="0"/>
          <w:sz w:val="32"/>
          <w:szCs w:val="32"/>
          <w:lang w:val="en-US" w:eastAsia="zh-CN" w:bidi="ar"/>
        </w:rPr>
        <w:t>八是</w:t>
      </w:r>
      <w:r>
        <w:rPr>
          <w:rFonts w:hint="eastAsia" w:ascii="仿宋_GB2312" w:hAnsi="仿宋_GB2312" w:eastAsia="仿宋_GB2312" w:cs="仿宋_GB2312"/>
          <w:b w:val="0"/>
          <w:bCs/>
          <w:i w:val="0"/>
          <w:caps w:val="0"/>
          <w:color w:val="auto"/>
          <w:spacing w:val="0"/>
          <w:kern w:val="0"/>
          <w:sz w:val="32"/>
          <w:szCs w:val="32"/>
          <w:lang w:val="en-US" w:eastAsia="zh-CN" w:bidi="ar"/>
        </w:rPr>
        <w:t>指出了现状存在问题。</w:t>
      </w:r>
    </w:p>
    <w:p>
      <w:pPr>
        <w:rPr>
          <w:rFonts w:hint="default" w:ascii="仿宋_GB2312" w:hAnsi="仿宋_GB2312" w:eastAsia="仿宋_GB2312" w:cs="仿宋_GB2312"/>
          <w:b w:val="0"/>
          <w:bCs/>
          <w:i w:val="0"/>
          <w:caps w:val="0"/>
          <w:color w:val="auto"/>
          <w:spacing w:val="0"/>
          <w:kern w:val="0"/>
          <w:sz w:val="32"/>
          <w:szCs w:val="32"/>
          <w:lang w:val="en-US" w:eastAsia="zh-CN" w:bidi="ar"/>
        </w:rPr>
      </w:pPr>
      <w:r>
        <w:rPr>
          <w:rFonts w:hint="eastAsia" w:ascii="仿宋_GB2312" w:hAnsi="仿宋_GB2312" w:eastAsia="仿宋_GB2312" w:cs="仿宋_GB2312"/>
          <w:b w:val="0"/>
          <w:bCs/>
          <w:i w:val="0"/>
          <w:caps w:val="0"/>
          <w:color w:val="auto"/>
          <w:spacing w:val="0"/>
          <w:kern w:val="0"/>
          <w:sz w:val="32"/>
          <w:szCs w:val="32"/>
          <w:lang w:val="en-US" w:eastAsia="zh-CN" w:bidi="ar"/>
        </w:rPr>
        <w:t xml:space="preserve">    </w:t>
      </w:r>
      <w:r>
        <w:rPr>
          <w:rFonts w:hint="eastAsia" w:ascii="仿宋_GB2312" w:hAnsi="仿宋_GB2312" w:eastAsia="仿宋_GB2312" w:cs="仿宋_GB2312"/>
          <w:b/>
          <w:bCs w:val="0"/>
          <w:i w:val="0"/>
          <w:caps w:val="0"/>
          <w:color w:val="auto"/>
          <w:spacing w:val="0"/>
          <w:kern w:val="0"/>
          <w:sz w:val="32"/>
          <w:szCs w:val="32"/>
          <w:lang w:val="en-US" w:eastAsia="zh-CN" w:bidi="ar"/>
        </w:rPr>
        <w:t>（四）规划目标与基本对策。</w:t>
      </w:r>
      <w:r>
        <w:rPr>
          <w:rFonts w:hint="eastAsia" w:ascii="仿宋_GB2312" w:hAnsi="仿宋_GB2312" w:eastAsia="仿宋_GB2312" w:cs="仿宋_GB2312"/>
          <w:b w:val="0"/>
          <w:bCs/>
          <w:i w:val="0"/>
          <w:caps w:val="0"/>
          <w:color w:val="auto"/>
          <w:spacing w:val="0"/>
          <w:kern w:val="0"/>
          <w:sz w:val="32"/>
          <w:szCs w:val="32"/>
          <w:lang w:val="en-US" w:eastAsia="zh-CN" w:bidi="ar"/>
        </w:rPr>
        <w:t>《规划》</w:t>
      </w:r>
      <w:r>
        <w:rPr>
          <w:rFonts w:hint="eastAsia" w:ascii="仿宋_GB2312" w:hAnsi="仿宋_GB2312" w:eastAsia="仿宋_GB2312" w:cs="仿宋_GB2312"/>
          <w:sz w:val="32"/>
          <w:szCs w:val="32"/>
          <w:lang w:val="en-US" w:eastAsia="zh-CN"/>
        </w:rPr>
        <w:t>确定了综合发展、整体保护、系统协调、分期推进等原则，确定“科学、真实地保护武王墩及其所处环境，挖掘和展示武王墩重要价值，通过武王墩保护展示和考古遗址公园建设，使其成为淮南地区楚文化的重要窗口，确保文物价值及社会价值的传承延续和发扬，妥善处理考古遗址公园与周边建设活动的关系，提升地方文化的感染力及影响力，以文物保护带动旅游业发展，让陈列在广阔大地上的遗产真正‘活’起来”为本次规划的目标，并提出8项基本对策。</w:t>
      </w:r>
    </w:p>
    <w:p>
      <w:pPr>
        <w:pStyle w:val="3"/>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578" w:lineRule="exact"/>
        <w:ind w:right="0" w:rightChars="0" w:firstLine="642" w:firstLineChars="200"/>
        <w:jc w:val="both"/>
        <w:textAlignment w:val="auto"/>
        <w:outlineLvl w:val="9"/>
        <w:rPr>
          <w:rFonts w:hint="default" w:ascii="仿宋_GB2312" w:hAnsi="仿宋_GB2312" w:eastAsia="仿宋_GB2312" w:cs="仿宋_GB2312"/>
          <w:b/>
          <w:bCs w:val="0"/>
          <w:i w:val="0"/>
          <w:caps w:val="0"/>
          <w:color w:val="auto"/>
          <w:spacing w:val="0"/>
          <w:kern w:val="0"/>
          <w:sz w:val="32"/>
          <w:szCs w:val="32"/>
          <w:lang w:val="en-US" w:eastAsia="zh-CN" w:bidi="ar"/>
        </w:rPr>
      </w:pPr>
      <w:r>
        <w:rPr>
          <w:rFonts w:hint="eastAsia" w:ascii="仿宋_GB2312" w:hAnsi="仿宋_GB2312" w:eastAsia="仿宋_GB2312" w:cs="仿宋_GB2312"/>
          <w:b/>
          <w:bCs w:val="0"/>
          <w:i w:val="0"/>
          <w:caps w:val="0"/>
          <w:color w:val="auto"/>
          <w:spacing w:val="0"/>
          <w:kern w:val="0"/>
          <w:sz w:val="32"/>
          <w:szCs w:val="32"/>
          <w:lang w:val="en-US" w:eastAsia="zh-CN" w:bidi="ar"/>
        </w:rPr>
        <w:t>（五）保护区划与管理规定。</w:t>
      </w:r>
      <w:r>
        <w:rPr>
          <w:rFonts w:hint="eastAsia" w:ascii="仿宋_GB2312" w:hAnsi="仿宋_GB2312" w:eastAsia="仿宋_GB2312" w:cs="仿宋_GB2312"/>
          <w:kern w:val="2"/>
          <w:sz w:val="32"/>
          <w:szCs w:val="32"/>
          <w:lang w:val="en-US" w:eastAsia="zh-CN"/>
        </w:rPr>
        <w:t>本章节依据《中华人民共和国文物保护法实施条例》《全国重点文物保护单位保护范围、标志说明、记录档案和保管机构工作规范（试行）》等法律规定，划定了武王墩的保护区划，制定了保护区划统一管理规定、保护范围管理规定、建设控制地带管理规定、环境控制区管理规定，明确了建构筑物风貌控制原则。即：规划范围内的建构筑物按照地标性建构筑物和群体性建构筑物两类进行风貌控制。地标性建构筑物高度不超过25米，在不影响遗址风貌、不干扰景观视廊的前提下，具体形象一事一议；群体性建构筑物风貌的控制，在符合淮南的建筑风貌控制总体要求的基础上，反映楚国文化特色。</w:t>
      </w:r>
    </w:p>
    <w:p>
      <w:pPr>
        <w:spacing w:line="580" w:lineRule="exact"/>
        <w:ind w:firstLine="642" w:firstLineChars="200"/>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b/>
          <w:bCs/>
          <w:sz w:val="32"/>
          <w:szCs w:val="32"/>
          <w:lang w:eastAsia="zh-CN"/>
        </w:rPr>
        <w:t>（六）</w:t>
      </w:r>
      <w:r>
        <w:rPr>
          <w:rFonts w:hint="eastAsia" w:ascii="仿宋_GB2312" w:hAnsi="仿宋_GB2312" w:eastAsia="仿宋_GB2312" w:cs="仿宋_GB2312"/>
          <w:b/>
          <w:bCs/>
          <w:sz w:val="32"/>
          <w:szCs w:val="32"/>
          <w:lang w:val="en-US" w:eastAsia="zh-CN"/>
        </w:rPr>
        <w:t>保护管理措施</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kern w:val="2"/>
          <w:sz w:val="32"/>
          <w:szCs w:val="32"/>
          <w:lang w:val="en-US" w:eastAsia="zh-CN" w:bidi="ar"/>
        </w:rPr>
        <w:t>本章明确了本体保护措施、环境整治措施、遗址管理措施、展示利用措施，提出了考古研究计划，对《武王墩保护管理规划》与《淮南市国土空间总体规划等相关规划》《武王墩考古遗址公园规划》的衔接提出了要求。</w:t>
      </w:r>
    </w:p>
    <w:p>
      <w:pPr>
        <w:spacing w:line="580" w:lineRule="exact"/>
        <w:ind w:firstLine="642" w:firstLineChars="200"/>
        <w:rPr>
          <w:rFonts w:hint="default" w:ascii="仿宋_GB2312" w:hAnsi="仿宋_GB2312" w:eastAsia="仿宋_GB2312" w:cs="仿宋_GB2312"/>
          <w:kern w:val="2"/>
          <w:sz w:val="32"/>
          <w:szCs w:val="32"/>
          <w:lang w:val="en-US" w:eastAsia="zh-CN" w:bidi="ar"/>
        </w:rPr>
      </w:pPr>
      <w:r>
        <w:rPr>
          <w:rFonts w:hint="eastAsia" w:ascii="仿宋_GB2312" w:hAnsi="仿宋_GB2312" w:eastAsia="仿宋_GB2312" w:cs="仿宋_GB2312"/>
          <w:b/>
          <w:bCs/>
          <w:sz w:val="32"/>
          <w:szCs w:val="32"/>
          <w:lang w:val="en-US" w:eastAsia="zh-CN"/>
        </w:rPr>
        <w:t>（七）分期目标及实施计划。</w:t>
      </w:r>
      <w:r>
        <w:rPr>
          <w:rFonts w:hint="eastAsia" w:ascii="仿宋_GB2312" w:hAnsi="仿宋_GB2312" w:eastAsia="仿宋_GB2312" w:cs="仿宋_GB2312"/>
          <w:kern w:val="2"/>
          <w:sz w:val="32"/>
          <w:szCs w:val="32"/>
          <w:lang w:val="en-US" w:eastAsia="zh-CN" w:bidi="ar"/>
        </w:rPr>
        <w:t>依据“坚持保护第一、加强管理、挖掘价值、有效利用、让文物活起来”的文物工作方针与国家经济计划管理规划、地方相关经济与社会发展规划，考虑文物保护工作的方针与原则、文物保护工作的程序规划、现状问题的严重性与紧迫性、地方发展计划及财政可行性、国民经济和社会发展规划等，对相关工作划定为近期、中期、远期分步实施，并对规划实施保障进行了明确。</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方正仿宋_GB2312">
    <w:altName w:val="方正仿宋_GBK"/>
    <w:panose1 w:val="02000000000000000000"/>
    <w:charset w:val="86"/>
    <w:family w:val="auto"/>
    <w:pitch w:val="default"/>
    <w:sig w:usb0="00000000" w:usb1="00000000" w:usb2="00000012" w:usb3="00000000" w:csb0="00040001"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E14F9B"/>
    <w:multiLevelType w:val="singleLevel"/>
    <w:tmpl w:val="92E14F9B"/>
    <w:lvl w:ilvl="0" w:tentative="0">
      <w:start w:val="3"/>
      <w:numFmt w:val="chineseCounting"/>
      <w:pStyle w:val="2"/>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F8522F"/>
    <w:rsid w:val="06902AEC"/>
    <w:rsid w:val="0EB222B2"/>
    <w:rsid w:val="4BDC4ED1"/>
    <w:rsid w:val="5EF8522F"/>
    <w:rsid w:val="AFFFC1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numPr>
        <w:ilvl w:val="0"/>
        <w:numId w:val="1"/>
      </w:numPr>
      <w:spacing w:after="140" w:line="276" w:lineRule="auto"/>
      <w:ind w:firstLine="643" w:firstLineChars="200"/>
    </w:pPr>
    <w:rPr>
      <w:rFonts w:ascii="Calibri" w:hAnsi="Calibri" w:eastAsia="方正仿宋_GB2312" w:cs="Times New Roman"/>
      <w:sz w:val="32"/>
    </w:rPr>
  </w:style>
  <w:style w:type="paragraph" w:styleId="3">
    <w:name w:val="Normal (Web)"/>
    <w:basedOn w:val="1"/>
    <w:qFormat/>
    <w:uiPriority w:val="0"/>
    <w:pPr>
      <w:spacing w:before="100" w:beforeLines="0" w:beforeAutospacing="1" w:after="100" w:afterLines="0" w:afterAutospacing="1"/>
      <w:ind w:left="0" w:right="0"/>
      <w:jc w:val="left"/>
    </w:pPr>
    <w:rPr>
      <w:kern w:val="0"/>
      <w:sz w:val="24"/>
      <w:lang w:val="en-US" w:eastAsia="zh-CN" w:bidi="ar"/>
    </w:rPr>
  </w:style>
  <w:style w:type="character" w:customStyle="1" w:styleId="6">
    <w:name w:val="font01"/>
    <w:basedOn w:val="5"/>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1255</Words>
  <Characters>1270</Characters>
  <Lines>0</Lines>
  <Paragraphs>0</Paragraphs>
  <TotalTime>112</TotalTime>
  <ScaleCrop>false</ScaleCrop>
  <LinksUpToDate>false</LinksUpToDate>
  <CharactersWithSpaces>1282</CharactersWithSpaces>
  <Application>WPS Office_11.8.2.9695_F1E327BC-269C-435d-A152-05C5408002CA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2025-11-06T11:13:00Z</dcterms:created>
  <dc:creator>Ai</dc:creator>
  <cp:lastModifiedBy>uos</cp:lastModifiedBy>
  <dcterms:modified xsi:type="dcterms:W3CDTF">2025-11-07T09:03:22Z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2052-11.8.2.9695</vt:lpwstr>
  </property>
  <property fmtid="{D5CDD505-2E9C-101B-9397-08002B2CF9AE}" pid="3" name="ICV">
    <vt:lpwstr>83DE4249D53E40488825BEEF49FCAD0E_11</vt:lpwstr>
  </property>
  <property fmtid="{D5CDD505-2E9C-101B-9397-08002B2CF9AE}" pid="4" name="KSOTemplateDocerSaveRecord">
    <vt:lpwstr>eyJoZGlkIjoiYzMzYmIxNDM2ZDVhYjkyYjMxMjU0NzhkYzEwNDg3OTEiLCJ1c2VySWQiOiI5MjkzMjI5MjQifQ==</vt:lpwstr>
  </property>
</Properties>
</file>